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空气消毒机维护维修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  <w:bookmarkStart w:id="0" w:name="_GoBack"/>
      <w:bookmarkEnd w:id="0"/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空气消毒机维护维修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维护期一年。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199F3CF9"/>
    <w:rsid w:val="0A537363"/>
    <w:rsid w:val="199F3CF9"/>
    <w:rsid w:val="1CF1336F"/>
    <w:rsid w:val="325C36C6"/>
    <w:rsid w:val="3CB32258"/>
    <w:rsid w:val="457F2FDD"/>
    <w:rsid w:val="53187C8F"/>
    <w:rsid w:val="609C578A"/>
    <w:rsid w:val="6F1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2024-02-22T00:37:00Z</dcterms:created>
  <dc:creator>User</dc:creator>
  <cp:lastModifiedBy>沐维娜</cp:lastModifiedBy>
  <cp:lastPrinted>2024-03-21T06:07:00Z</cp:lastPrinted>
  <dcterms:modified xsi:type="dcterms:W3CDTF">2024-03-26T00:59:39Z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3FA25ED79EDC4CEB8787DB4DF5D80B0B_13</vt:lpwstr>
  </property>
</Properties>
</file>